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附件四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 诺 函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本人承诺承租资产的用途必须根据资产现状按照国家规定合法经营，不得经营黄、赌、毒及违法行业，不得经营对周边正常生产生活秩序有重大影响或环境污染的项目。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承诺人：</w:t>
      </w:r>
    </w:p>
    <w:p>
      <w:r>
        <w:rPr>
          <w:rFonts w:hint="eastAsia" w:ascii="仿宋" w:hAnsi="仿宋" w:eastAsia="仿宋" w:cs="仿宋"/>
          <w:sz w:val="28"/>
          <w:szCs w:val="28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yZWUxZWEyNmYxYTdmYzNhOTNkNmIyNzE4MjU0YTgifQ=="/>
  </w:docVars>
  <w:rsids>
    <w:rsidRoot w:val="00000000"/>
    <w:rsid w:val="6ADE2FD8"/>
    <w:rsid w:val="6B78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1"/>
    <w:qFormat/>
    <w:uiPriority w:val="0"/>
    <w:pPr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2023-03-13T03:06:45Z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D10CCF444D2C49B78C943ADD9C417685</vt:lpwstr>
  </property>
</Properties>
</file>